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B3D" w:rsidRDefault="002656AE"/>
    <w:p w:rsidR="00BD78DD" w:rsidRDefault="00BD78DD" w:rsidP="003600B9">
      <w:pPr>
        <w:tabs>
          <w:tab w:val="left" w:pos="1646"/>
        </w:tabs>
        <w:jc w:val="center"/>
      </w:pPr>
      <w:bookmarkStart w:id="0" w:name="_GoBack"/>
      <w:bookmarkEnd w:id="0"/>
    </w:p>
    <w:p w:rsidR="00BD78DD" w:rsidRPr="00956AC5" w:rsidRDefault="00952239" w:rsidP="003600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AC5">
        <w:rPr>
          <w:rFonts w:ascii="Times New Roman" w:hAnsi="Times New Roman" w:cs="Times New Roman"/>
          <w:b/>
          <w:sz w:val="24"/>
          <w:szCs w:val="24"/>
        </w:rPr>
        <w:t>MATRIZ</w:t>
      </w:r>
      <w:r w:rsidR="003600B9" w:rsidRPr="00956AC5">
        <w:rPr>
          <w:rFonts w:ascii="Times New Roman" w:hAnsi="Times New Roman" w:cs="Times New Roman"/>
          <w:b/>
          <w:sz w:val="24"/>
          <w:szCs w:val="24"/>
        </w:rPr>
        <w:t xml:space="preserve"> – ALTERAÇÕES AO REGULAMENTO DE INTEROPERABILIDADE DO GOVERNO ELECTRÓNICO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BD78DD" w:rsidTr="00BD78DD">
        <w:tc>
          <w:tcPr>
            <w:tcW w:w="3237" w:type="dxa"/>
          </w:tcPr>
          <w:p w:rsidR="00BD78DD" w:rsidRPr="00952239" w:rsidRDefault="00BD78DD" w:rsidP="00BD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Matéria Nova</w:t>
            </w:r>
          </w:p>
        </w:tc>
        <w:tc>
          <w:tcPr>
            <w:tcW w:w="3237" w:type="dxa"/>
          </w:tcPr>
          <w:p w:rsidR="00BD78DD" w:rsidRPr="00952239" w:rsidRDefault="00BD78DD" w:rsidP="00BD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Artigo(s)</w:t>
            </w:r>
          </w:p>
        </w:tc>
        <w:tc>
          <w:tcPr>
            <w:tcW w:w="3238" w:type="dxa"/>
          </w:tcPr>
          <w:p w:rsidR="00BD78DD" w:rsidRPr="00952239" w:rsidRDefault="00BD78DD" w:rsidP="00BD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Conteúdo Introduzido</w:t>
            </w:r>
          </w:p>
        </w:tc>
        <w:tc>
          <w:tcPr>
            <w:tcW w:w="3238" w:type="dxa"/>
          </w:tcPr>
          <w:p w:rsidR="00BD78DD" w:rsidRPr="00952239" w:rsidRDefault="00BD78DD" w:rsidP="00BD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Objectivo/Impacto</w:t>
            </w:r>
          </w:p>
        </w:tc>
      </w:tr>
      <w:tr w:rsidR="00BD78DD" w:rsidTr="001D65BE">
        <w:tc>
          <w:tcPr>
            <w:tcW w:w="3237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2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Novos princípios orientadores</w:t>
            </w:r>
          </w:p>
        </w:tc>
        <w:tc>
          <w:tcPr>
            <w:tcW w:w="3237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Arts. 17 a 19</w:t>
            </w:r>
          </w:p>
        </w:tc>
        <w:tc>
          <w:tcPr>
            <w:tcW w:w="3238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</w:rPr>
              <w:t>Introdução dos princípios da Reutilização, Segurança desde a Concepção (Security by Design) e Digital como Regra (Digital by Default).</w:t>
            </w:r>
          </w:p>
        </w:tc>
        <w:tc>
          <w:tcPr>
            <w:tcW w:w="3238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</w:rPr>
              <w:t>Alinhar o Quadro de Interoperabilidade com as melhores práticas internacionais de governo digital, promovendo serviços digitais seguros e centrados no cidadão.</w:t>
            </w:r>
          </w:p>
        </w:tc>
      </w:tr>
      <w:tr w:rsidR="00BD78DD" w:rsidTr="001D65BE">
        <w:tc>
          <w:tcPr>
            <w:tcW w:w="3237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Princípio "Uma Única Vez" (Once Only Principle)</w:t>
            </w:r>
          </w:p>
        </w:tc>
        <w:tc>
          <w:tcPr>
            <w:tcW w:w="3237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Arts. 19 e 37</w:t>
            </w:r>
          </w:p>
        </w:tc>
        <w:tc>
          <w:tcPr>
            <w:tcW w:w="3238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</w:rPr>
              <w:t>Proibição de solicitar ao cidadão informação já existente na Administração Pública e implementação gradual da recolha única de dados.</w:t>
            </w:r>
          </w:p>
        </w:tc>
        <w:tc>
          <w:tcPr>
            <w:tcW w:w="3238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</w:rPr>
              <w:t>Redução da burocracia, simplificação administrativa e melhoria da experiência do cidadão.</w:t>
            </w:r>
          </w:p>
        </w:tc>
      </w:tr>
      <w:tr w:rsidR="00BD78DD" w:rsidTr="001D65BE">
        <w:tc>
          <w:tcPr>
            <w:tcW w:w="3237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Competência regulatória reforçada do INTIC</w:t>
            </w:r>
          </w:p>
        </w:tc>
        <w:tc>
          <w:tcPr>
            <w:tcW w:w="3237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Art. 20</w:t>
            </w:r>
          </w:p>
        </w:tc>
        <w:tc>
          <w:tcPr>
            <w:tcW w:w="3238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</w:rPr>
              <w:t>Atribuição de competências para certificação prévia de interoperabilidade, emissão de normas técnicas obrigatórias, fiscalização, aplicação de sanções e supervisão de assinaturas digitais.</w:t>
            </w:r>
          </w:p>
        </w:tc>
        <w:tc>
          <w:tcPr>
            <w:tcW w:w="3238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</w:rPr>
              <w:t>Reforçar o papel do INTIC como Autoridade Reguladora da Interoperabilidade.</w:t>
            </w:r>
          </w:p>
        </w:tc>
      </w:tr>
      <w:tr w:rsidR="00BD78DD" w:rsidTr="001D65BE">
        <w:tc>
          <w:tcPr>
            <w:tcW w:w="3237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2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Obrigatoriedade de conformidade técnica</w:t>
            </w:r>
          </w:p>
        </w:tc>
        <w:tc>
          <w:tcPr>
            <w:tcW w:w="3237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Arts. 20 e 22</w:t>
            </w:r>
          </w:p>
        </w:tc>
        <w:tc>
          <w:tcPr>
            <w:tcW w:w="3238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</w:rPr>
              <w:t>Obrigação de todas as instituições cumprirem as normas técnicas emitidas pela Autoridade Reguladora, sob pena de sanções.</w:t>
            </w:r>
          </w:p>
        </w:tc>
        <w:tc>
          <w:tcPr>
            <w:tcW w:w="3238" w:type="dxa"/>
            <w:vAlign w:val="center"/>
          </w:tcPr>
          <w:p w:rsidR="00BD78DD" w:rsidRPr="00952239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239">
              <w:rPr>
                <w:rFonts w:ascii="Times New Roman" w:hAnsi="Times New Roman" w:cs="Times New Roman"/>
                <w:sz w:val="24"/>
                <w:szCs w:val="24"/>
              </w:rPr>
              <w:t>Uniformizar a interoperabilidade em toda a Administração Pública.</w:t>
            </w:r>
          </w:p>
        </w:tc>
      </w:tr>
    </w:tbl>
    <w:p w:rsidR="00DE640F" w:rsidRDefault="00DE640F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BD78DD" w:rsidRPr="00DE640F" w:rsidTr="00BD78DD">
        <w:tc>
          <w:tcPr>
            <w:tcW w:w="3237" w:type="dxa"/>
          </w:tcPr>
          <w:p w:rsidR="00BD78DD" w:rsidRPr="00DE640F" w:rsidRDefault="00BD78DD" w:rsidP="00BD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Matéria Nova</w:t>
            </w:r>
          </w:p>
        </w:tc>
        <w:tc>
          <w:tcPr>
            <w:tcW w:w="3237" w:type="dxa"/>
          </w:tcPr>
          <w:p w:rsidR="00BD78DD" w:rsidRPr="00DE640F" w:rsidRDefault="00BD78DD" w:rsidP="00BD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Artigo(s)</w:t>
            </w:r>
          </w:p>
        </w:tc>
        <w:tc>
          <w:tcPr>
            <w:tcW w:w="3238" w:type="dxa"/>
          </w:tcPr>
          <w:p w:rsidR="00BD78DD" w:rsidRPr="00DE640F" w:rsidRDefault="00BD78DD" w:rsidP="00BD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Conteúdo Introduzido</w:t>
            </w:r>
          </w:p>
        </w:tc>
        <w:tc>
          <w:tcPr>
            <w:tcW w:w="3238" w:type="dxa"/>
          </w:tcPr>
          <w:p w:rsidR="00BD78DD" w:rsidRPr="00DE640F" w:rsidRDefault="00BD78DD" w:rsidP="00BD7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Objectivo/Impacto</w:t>
            </w:r>
          </w:p>
        </w:tc>
      </w:tr>
      <w:tr w:rsidR="00BD78DD" w:rsidRPr="00DE640F" w:rsidTr="0062205C">
        <w:tc>
          <w:tcPr>
            <w:tcW w:w="3237" w:type="dxa"/>
            <w:vAlign w:val="center"/>
          </w:tcPr>
          <w:p w:rsidR="00BD78DD" w:rsidRPr="00DE640F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Direitos dos titulares dos dados</w:t>
            </w:r>
          </w:p>
        </w:tc>
        <w:tc>
          <w:tcPr>
            <w:tcW w:w="3237" w:type="dxa"/>
            <w:vAlign w:val="center"/>
          </w:tcPr>
          <w:p w:rsidR="00BD78DD" w:rsidRPr="00DE640F" w:rsidRDefault="00BD78DD" w:rsidP="00BD78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Art. 23</w:t>
            </w:r>
          </w:p>
        </w:tc>
        <w:tc>
          <w:tcPr>
            <w:tcW w:w="3238" w:type="dxa"/>
            <w:vAlign w:val="center"/>
          </w:tcPr>
          <w:p w:rsidR="00BD78DD" w:rsidRPr="00DE640F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Introdução dos direitos de acesso, rectificação, eliminação, portabilidade e oposição relativamente aos dados tratados através da plataforma.</w:t>
            </w:r>
          </w:p>
        </w:tc>
        <w:tc>
          <w:tcPr>
            <w:tcW w:w="3238" w:type="dxa"/>
            <w:vAlign w:val="center"/>
          </w:tcPr>
          <w:p w:rsidR="00BD78DD" w:rsidRPr="00DE640F" w:rsidRDefault="00BD78DD" w:rsidP="00BD7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Harmonizar o regulamento com a futura Lei de Protecção de Dados Pessoais.</w:t>
            </w:r>
          </w:p>
        </w:tc>
      </w:tr>
      <w:tr w:rsidR="00952239" w:rsidRPr="00DE640F" w:rsidTr="00782DEA">
        <w:tc>
          <w:tcPr>
            <w:tcW w:w="3237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Protecção da Privacidade desde a Concepção (Privacy by Design)</w:t>
            </w:r>
          </w:p>
        </w:tc>
        <w:tc>
          <w:tcPr>
            <w:tcW w:w="3237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Art. 24</w:t>
            </w:r>
          </w:p>
        </w:tc>
        <w:tc>
          <w:tcPr>
            <w:tcW w:w="3238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Obrigatoriedade de incorporar requisitos de privacidade desde o desenvolvimento dos sistemas e realização de Avaliações de Impacto sobre a Protecção de Dados (AIPD/DPIA).</w:t>
            </w:r>
          </w:p>
        </w:tc>
        <w:tc>
          <w:tcPr>
            <w:tcW w:w="3238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Garantir que os sistemas sejam concebidos em conformidade com os princípios de protecção de dados.</w:t>
            </w:r>
          </w:p>
        </w:tc>
      </w:tr>
      <w:tr w:rsidR="00952239" w:rsidRPr="00DE640F" w:rsidTr="00782DEA">
        <w:tc>
          <w:tcPr>
            <w:tcW w:w="3237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Encarregado de Protecção de Dados (DPO)</w:t>
            </w:r>
          </w:p>
        </w:tc>
        <w:tc>
          <w:tcPr>
            <w:tcW w:w="3237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Art. 25</w:t>
            </w:r>
          </w:p>
        </w:tc>
        <w:tc>
          <w:tcPr>
            <w:tcW w:w="3238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Obrigação de todas as instituições designarem um Encarregado de Protecção de Dados e notificarem a Autoridade Reguladora.</w:t>
            </w:r>
          </w:p>
        </w:tc>
        <w:tc>
          <w:tcPr>
            <w:tcW w:w="3238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Criar mecanismos internos permanentes de conformidade em matéria de protecção de dados.</w:t>
            </w:r>
          </w:p>
        </w:tc>
      </w:tr>
      <w:tr w:rsidR="00952239" w:rsidRPr="00DE640F" w:rsidTr="00782DEA">
        <w:tc>
          <w:tcPr>
            <w:tcW w:w="3237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Modelo de responsabilização (Accountability)</w:t>
            </w:r>
          </w:p>
        </w:tc>
        <w:tc>
          <w:tcPr>
            <w:tcW w:w="3237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Art. 26</w:t>
            </w:r>
          </w:p>
        </w:tc>
        <w:tc>
          <w:tcPr>
            <w:tcW w:w="3238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Definição das responsabilidades do controlador dos dados, operador da plataforma e Autoridade Reguladora.</w:t>
            </w:r>
          </w:p>
        </w:tc>
        <w:tc>
          <w:tcPr>
            <w:tcW w:w="3238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Clarificar responsabilidades em caso de incidentes, falhas ou violações de dados.</w:t>
            </w:r>
          </w:p>
        </w:tc>
      </w:tr>
      <w:tr w:rsidR="00952239" w:rsidRPr="00DE640F" w:rsidTr="00782DEA">
        <w:tc>
          <w:tcPr>
            <w:tcW w:w="3237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Direito à indemnização</w:t>
            </w:r>
          </w:p>
        </w:tc>
        <w:tc>
          <w:tcPr>
            <w:tcW w:w="3237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Art. 26</w:t>
            </w:r>
          </w:p>
        </w:tc>
        <w:tc>
          <w:tcPr>
            <w:tcW w:w="3238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Previsão do direito de indemnização por danos decorrentes de violação de dados, interrupção de serviços ou acessos não autorizados.</w:t>
            </w:r>
          </w:p>
        </w:tc>
        <w:tc>
          <w:tcPr>
            <w:tcW w:w="3238" w:type="dxa"/>
            <w:vAlign w:val="center"/>
          </w:tcPr>
          <w:p w:rsidR="00952239" w:rsidRPr="00DE640F" w:rsidRDefault="00952239" w:rsidP="0095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Reforçar a responsabilização das entidades públicas.</w:t>
            </w:r>
          </w:p>
        </w:tc>
      </w:tr>
    </w:tbl>
    <w:p w:rsidR="00952239" w:rsidRDefault="00952239">
      <w:pPr>
        <w:rPr>
          <w:rFonts w:ascii="Times New Roman" w:hAnsi="Times New Roman" w:cs="Times New Roman"/>
          <w:sz w:val="24"/>
          <w:szCs w:val="24"/>
        </w:rPr>
      </w:pPr>
    </w:p>
    <w:p w:rsidR="00DE640F" w:rsidRPr="00DE640F" w:rsidRDefault="00DE64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DE640F" w:rsidRPr="00DE640F" w:rsidTr="00952239">
        <w:tc>
          <w:tcPr>
            <w:tcW w:w="3237" w:type="dxa"/>
          </w:tcPr>
          <w:p w:rsidR="00DE640F" w:rsidRPr="00DE640F" w:rsidRDefault="00DE640F" w:rsidP="00DE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Matéria Nova</w:t>
            </w:r>
          </w:p>
        </w:tc>
        <w:tc>
          <w:tcPr>
            <w:tcW w:w="3237" w:type="dxa"/>
          </w:tcPr>
          <w:p w:rsidR="00DE640F" w:rsidRPr="00DE640F" w:rsidRDefault="00DE640F" w:rsidP="00DE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Artigo(s)</w:t>
            </w:r>
          </w:p>
        </w:tc>
        <w:tc>
          <w:tcPr>
            <w:tcW w:w="3238" w:type="dxa"/>
          </w:tcPr>
          <w:p w:rsidR="00DE640F" w:rsidRPr="00DE640F" w:rsidRDefault="00DE640F" w:rsidP="00DE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Conteúdo Introduzido</w:t>
            </w:r>
          </w:p>
        </w:tc>
        <w:tc>
          <w:tcPr>
            <w:tcW w:w="3238" w:type="dxa"/>
          </w:tcPr>
          <w:p w:rsidR="00DE640F" w:rsidRPr="00DE640F" w:rsidRDefault="00DE640F" w:rsidP="00DE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Objectivo/Impacto</w:t>
            </w:r>
          </w:p>
        </w:tc>
      </w:tr>
      <w:tr w:rsidR="00DE640F" w:rsidRPr="00DE640F" w:rsidTr="00284862">
        <w:tc>
          <w:tcPr>
            <w:tcW w:w="3237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Seguro ou garantias financeiras</w:t>
            </w:r>
          </w:p>
        </w:tc>
        <w:tc>
          <w:tcPr>
            <w:tcW w:w="3237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Arts. 26 e 37</w:t>
            </w:r>
          </w:p>
        </w:tc>
        <w:tc>
          <w:tcPr>
            <w:tcW w:w="3238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Obrigação de manutenção de cobertura de seguro ou garantias financeiras proporcionais ao risco do tratamento de dados.</w:t>
            </w:r>
          </w:p>
        </w:tc>
        <w:tc>
          <w:tcPr>
            <w:tcW w:w="3238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Mitigar riscos financeiros decorrentes de incidentes de segurança.</w:t>
            </w:r>
          </w:p>
        </w:tc>
      </w:tr>
      <w:tr w:rsidR="00DE640F" w:rsidRPr="00DE640F" w:rsidTr="00284862">
        <w:tc>
          <w:tcPr>
            <w:tcW w:w="3237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Mecanismo formal de resolução de conflitos</w:t>
            </w:r>
          </w:p>
        </w:tc>
        <w:tc>
          <w:tcPr>
            <w:tcW w:w="3237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Arts. 27 a 32</w:t>
            </w:r>
          </w:p>
        </w:tc>
        <w:tc>
          <w:tcPr>
            <w:tcW w:w="3238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Criação de procedimento estruturado de negociação, mediação, decisão vinculativa, recursos e medidas provisórias.</w:t>
            </w:r>
          </w:p>
        </w:tc>
        <w:tc>
          <w:tcPr>
            <w:tcW w:w="3238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Resolver conflitos entre instituições sem necessidade imediata de recurso judicial.</w:t>
            </w:r>
          </w:p>
        </w:tc>
      </w:tr>
      <w:tr w:rsidR="00DE640F" w:rsidRPr="00DE640F" w:rsidTr="00284862">
        <w:tc>
          <w:tcPr>
            <w:tcW w:w="3237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Regime sancionatório próprio</w:t>
            </w:r>
          </w:p>
        </w:tc>
        <w:tc>
          <w:tcPr>
            <w:tcW w:w="3237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Arts. 33 a 35</w:t>
            </w:r>
          </w:p>
        </w:tc>
        <w:tc>
          <w:tcPr>
            <w:tcW w:w="3238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Introdução de advertências, ordens de conformidade, multas administrativas, suspensão e exclusão da plataforma, bem como regras processuais e reincidência.</w:t>
            </w:r>
          </w:p>
        </w:tc>
        <w:tc>
          <w:tcPr>
            <w:tcW w:w="3238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Dotar o regulamento de mecanismos efe</w:t>
            </w:r>
            <w:r w:rsidR="00751B9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tivos de fiscalização e cumprimento.</w:t>
            </w:r>
          </w:p>
        </w:tc>
      </w:tr>
      <w:tr w:rsidR="00DE640F" w:rsidRPr="00DE640F" w:rsidTr="00380D67">
        <w:tc>
          <w:tcPr>
            <w:tcW w:w="3237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Dados autoritativos</w:t>
            </w:r>
          </w:p>
        </w:tc>
        <w:tc>
          <w:tcPr>
            <w:tcW w:w="3237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Art. 36</w:t>
            </w:r>
          </w:p>
        </w:tc>
        <w:tc>
          <w:tcPr>
            <w:tcW w:w="3238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Definição de bases de dados autoritativas (NUIC, NUEL, DUAT), entidades responsáveis e mecanismos de governação.</w:t>
            </w:r>
          </w:p>
        </w:tc>
        <w:tc>
          <w:tcPr>
            <w:tcW w:w="3238" w:type="dxa"/>
            <w:vAlign w:val="center"/>
          </w:tcPr>
          <w:p w:rsidR="00DE640F" w:rsidRPr="00DE640F" w:rsidRDefault="00DE640F" w:rsidP="00DE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sz w:val="24"/>
                <w:szCs w:val="24"/>
              </w:rPr>
              <w:t>Instituir oficialmente a governação nacional dos dados autoritativos.</w:t>
            </w:r>
          </w:p>
        </w:tc>
      </w:tr>
    </w:tbl>
    <w:p w:rsidR="00952239" w:rsidRDefault="00952239"/>
    <w:p w:rsidR="00DE640F" w:rsidRDefault="00DE640F"/>
    <w:p w:rsidR="00DE640F" w:rsidRDefault="00DE640F"/>
    <w:p w:rsidR="00DE640F" w:rsidRDefault="00DE640F"/>
    <w:p w:rsidR="00DE640F" w:rsidRDefault="00DE640F"/>
    <w:p w:rsidR="00DE640F" w:rsidRDefault="00DE640F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DE640F" w:rsidTr="00DE640F">
        <w:tc>
          <w:tcPr>
            <w:tcW w:w="3237" w:type="dxa"/>
          </w:tcPr>
          <w:p w:rsidR="00DE640F" w:rsidRPr="00DE640F" w:rsidRDefault="00DE640F" w:rsidP="00DE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Matéria Nova</w:t>
            </w:r>
          </w:p>
        </w:tc>
        <w:tc>
          <w:tcPr>
            <w:tcW w:w="3237" w:type="dxa"/>
          </w:tcPr>
          <w:p w:rsidR="00DE640F" w:rsidRPr="00DE640F" w:rsidRDefault="00DE640F" w:rsidP="00DE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Artigo(s)</w:t>
            </w:r>
          </w:p>
        </w:tc>
        <w:tc>
          <w:tcPr>
            <w:tcW w:w="3238" w:type="dxa"/>
          </w:tcPr>
          <w:p w:rsidR="00DE640F" w:rsidRPr="00DE640F" w:rsidRDefault="00DE640F" w:rsidP="00DE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Conteúdo Introduzido</w:t>
            </w:r>
          </w:p>
        </w:tc>
        <w:tc>
          <w:tcPr>
            <w:tcW w:w="3238" w:type="dxa"/>
          </w:tcPr>
          <w:p w:rsidR="00DE640F" w:rsidRPr="00DE640F" w:rsidRDefault="00DE640F" w:rsidP="00DE6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Objectivo/Impacto</w:t>
            </w:r>
          </w:p>
        </w:tc>
      </w:tr>
      <w:tr w:rsidR="00CA2D59" w:rsidTr="00E51AD4">
        <w:tc>
          <w:tcPr>
            <w:tcW w:w="3237" w:type="dxa"/>
            <w:vAlign w:val="center"/>
          </w:tcPr>
          <w:p w:rsidR="00CA2D59" w:rsidRPr="00CA2D59" w:rsidRDefault="00CA2D59" w:rsidP="00CA2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Manual de Procedimentos</w:t>
            </w:r>
          </w:p>
        </w:tc>
        <w:tc>
          <w:tcPr>
            <w:tcW w:w="3237" w:type="dxa"/>
            <w:vAlign w:val="center"/>
          </w:tcPr>
          <w:p w:rsidR="00CA2D59" w:rsidRPr="00CA2D59" w:rsidRDefault="00CA2D59" w:rsidP="00CA2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Arts. 20, 22 e 36</w:t>
            </w:r>
          </w:p>
        </w:tc>
        <w:tc>
          <w:tcPr>
            <w:tcW w:w="3238" w:type="dxa"/>
            <w:vAlign w:val="center"/>
          </w:tcPr>
          <w:p w:rsidR="00CA2D59" w:rsidRPr="00CA2D59" w:rsidRDefault="00CA2D59" w:rsidP="00CA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59">
              <w:rPr>
                <w:rFonts w:ascii="Times New Roman" w:hAnsi="Times New Roman" w:cs="Times New Roman"/>
                <w:sz w:val="24"/>
                <w:szCs w:val="24"/>
              </w:rPr>
              <w:t>Remissão de matérias técnicas para um Manual de Procedimentos a aprovar pela Autoridade Reguladora.</w:t>
            </w:r>
          </w:p>
        </w:tc>
        <w:tc>
          <w:tcPr>
            <w:tcW w:w="3238" w:type="dxa"/>
            <w:vAlign w:val="center"/>
          </w:tcPr>
          <w:p w:rsidR="00CA2D59" w:rsidRPr="00CA2D59" w:rsidRDefault="00CA2D59" w:rsidP="00CA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59">
              <w:rPr>
                <w:rFonts w:ascii="Times New Roman" w:hAnsi="Times New Roman" w:cs="Times New Roman"/>
                <w:sz w:val="24"/>
                <w:szCs w:val="24"/>
              </w:rPr>
              <w:t>Permitir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A2D59">
              <w:rPr>
                <w:rFonts w:ascii="Times New Roman" w:hAnsi="Times New Roman" w:cs="Times New Roman"/>
                <w:sz w:val="24"/>
                <w:szCs w:val="24"/>
              </w:rPr>
              <w:t>tualização técnica contínua sem necessidade de alterar o Regulamento.</w:t>
            </w:r>
          </w:p>
        </w:tc>
      </w:tr>
      <w:tr w:rsidR="00CA2D59" w:rsidTr="00E51AD4">
        <w:tc>
          <w:tcPr>
            <w:tcW w:w="3237" w:type="dxa"/>
            <w:vAlign w:val="center"/>
          </w:tcPr>
          <w:p w:rsidR="00CA2D59" w:rsidRPr="00CA2D59" w:rsidRDefault="00CA2D59" w:rsidP="00CA2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Glossário técnico ampliado</w:t>
            </w:r>
          </w:p>
        </w:tc>
        <w:tc>
          <w:tcPr>
            <w:tcW w:w="3237" w:type="dxa"/>
            <w:vAlign w:val="center"/>
          </w:tcPr>
          <w:p w:rsidR="00CA2D59" w:rsidRPr="00CA2D59" w:rsidRDefault="00CA2D59" w:rsidP="00CA2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D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Glossário</w:t>
            </w:r>
          </w:p>
        </w:tc>
        <w:tc>
          <w:tcPr>
            <w:tcW w:w="3238" w:type="dxa"/>
            <w:vAlign w:val="center"/>
          </w:tcPr>
          <w:p w:rsidR="00CA2D59" w:rsidRPr="00CA2D59" w:rsidRDefault="00CA2D59" w:rsidP="00CA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59">
              <w:rPr>
                <w:rFonts w:ascii="Times New Roman" w:hAnsi="Times New Roman" w:cs="Times New Roman"/>
                <w:sz w:val="24"/>
                <w:szCs w:val="24"/>
              </w:rPr>
              <w:t>Inclusão de novos conceitos como Avaliação de Impacto sobre a Protecção de Dados, Dados Autoritativos, Arquitectura de Referência, Reutilização de Dados e Plataformas Infraestruturais Complementares.</w:t>
            </w:r>
          </w:p>
        </w:tc>
        <w:tc>
          <w:tcPr>
            <w:tcW w:w="3238" w:type="dxa"/>
            <w:vAlign w:val="center"/>
          </w:tcPr>
          <w:p w:rsidR="00CA2D59" w:rsidRPr="00CA2D59" w:rsidRDefault="00CA2D59" w:rsidP="00CA2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D59">
              <w:rPr>
                <w:rFonts w:ascii="Times New Roman" w:hAnsi="Times New Roman" w:cs="Times New Roman"/>
                <w:sz w:val="24"/>
                <w:szCs w:val="24"/>
              </w:rPr>
              <w:t>Uniformizar a interpretação jurídica e técnica do Regulamento.</w:t>
            </w:r>
          </w:p>
        </w:tc>
      </w:tr>
    </w:tbl>
    <w:p w:rsidR="00DE640F" w:rsidRDefault="00DE640F"/>
    <w:sectPr w:rsidR="00DE640F" w:rsidSect="00BD78DD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6AE" w:rsidRDefault="002656AE" w:rsidP="00952239">
      <w:pPr>
        <w:spacing w:after="0" w:line="240" w:lineRule="auto"/>
      </w:pPr>
      <w:r>
        <w:separator/>
      </w:r>
    </w:p>
  </w:endnote>
  <w:endnote w:type="continuationSeparator" w:id="0">
    <w:p w:rsidR="002656AE" w:rsidRDefault="002656AE" w:rsidP="0095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6AE" w:rsidRDefault="002656AE" w:rsidP="00952239">
      <w:pPr>
        <w:spacing w:after="0" w:line="240" w:lineRule="auto"/>
      </w:pPr>
      <w:r>
        <w:separator/>
      </w:r>
    </w:p>
  </w:footnote>
  <w:footnote w:type="continuationSeparator" w:id="0">
    <w:p w:rsidR="002656AE" w:rsidRDefault="002656AE" w:rsidP="0095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239" w:rsidRDefault="00952239">
    <w:pPr>
      <w:pStyle w:val="Cabealho"/>
    </w:pPr>
    <w:r w:rsidRPr="00DC5A1E">
      <w:rPr>
        <w:rFonts w:ascii="Arial" w:eastAsia="Calibri" w:hAnsi="Arial" w:cs="Times New Roman"/>
        <w:sz w:val="24"/>
        <w:lang w:val="en-US"/>
      </w:rPr>
      <w:drawing>
        <wp:inline distT="0" distB="0" distL="0" distR="0" wp14:anchorId="16FFD031" wp14:editId="6EE29E7F">
          <wp:extent cx="3919855" cy="789709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95" t="29060" r="14584" b="44444"/>
                  <a:stretch>
                    <a:fillRect/>
                  </a:stretch>
                </pic:blipFill>
                <pic:spPr bwMode="auto">
                  <a:xfrm>
                    <a:off x="0" y="0"/>
                    <a:ext cx="3977200" cy="801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52239">
      <w:rPr>
        <w:rFonts w:ascii="Times New Roman" w:eastAsia="Times New Roman" w:hAnsi="Times New Roman" w:cs="Times New Roman"/>
        <w:noProof w:val="0"/>
        <w:spacing w:val="-5"/>
        <w:sz w:val="24"/>
        <w:szCs w:val="20"/>
      </w:rPr>
      <w:t xml:space="preserve"> </w:t>
    </w:r>
    <w:r w:rsidRPr="00952239">
      <w:t>Autoridade Reguladora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DD"/>
    <w:rsid w:val="002656AE"/>
    <w:rsid w:val="003600B9"/>
    <w:rsid w:val="00375481"/>
    <w:rsid w:val="004018BC"/>
    <w:rsid w:val="00751B9A"/>
    <w:rsid w:val="00952239"/>
    <w:rsid w:val="00956AC5"/>
    <w:rsid w:val="009A4452"/>
    <w:rsid w:val="009B6D68"/>
    <w:rsid w:val="00BD78DD"/>
    <w:rsid w:val="00CA2D59"/>
    <w:rsid w:val="00D50F1E"/>
    <w:rsid w:val="00DE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BFE7FC-3359-4A7B-AD3F-DB385096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D7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2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2239"/>
    <w:rPr>
      <w:noProof/>
      <w:lang w:val="pt-PT"/>
    </w:rPr>
  </w:style>
  <w:style w:type="paragraph" w:styleId="Rodap">
    <w:name w:val="footer"/>
    <w:basedOn w:val="Normal"/>
    <w:link w:val="RodapChar"/>
    <w:uiPriority w:val="99"/>
    <w:unhideWhenUsed/>
    <w:rsid w:val="009522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2239"/>
    <w:rPr>
      <w:noProof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2026-08-06T13:54:00Z</dcterms:created>
  <dcterms:modified xsi:type="dcterms:W3CDTF">2026-08-09T18:10:00Z</dcterms:modified>
</cp:coreProperties>
</file>